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0C47373C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960FF" w:rsidRPr="00C960FF" w:rsidP="00C960FF" w14:paraId="53180090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960FF" w:rsidRPr="00C960FF" w:rsidP="00C960FF" w14:paraId="5ADA85AD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50A21767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960FF" w:rsidRPr="00C960FF" w:rsidP="00C960FF" w14:paraId="231EB62A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960FF" w:rsidRPr="00C960FF" w:rsidP="00C960FF" w14:paraId="6C3F3A07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07D9C35B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960FF" w:rsidRPr="00C960FF" w:rsidP="00C960FF" w14:paraId="7568A3CE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960FF" w:rsidRPr="00C960FF" w:rsidP="00C960FF" w14:paraId="4A610A6D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1C52ECAC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960FF" w:rsidRPr="00C960FF" w:rsidP="00C960FF" w14:paraId="48281FAC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960FF" w:rsidRPr="00C960FF" w:rsidP="00C960FF" w14:paraId="4653EA5E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960FF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16365F26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960FF" w:rsidRPr="00C960FF" w:rsidP="00C960FF" w14:paraId="344E31C4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960FF" w:rsidRPr="00C960FF" w:rsidP="00C960FF" w14:paraId="36D7F748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C960FF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960FF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960FF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C960FF" w:rsidRPr="00C960FF" w:rsidP="00C960FF" w14:paraId="3EECEE0D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C960FF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C960FF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C960FF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C960FF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C960FF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C960FF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C960FF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C960FF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C960FF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C960FF" w:rsidRPr="00C960FF" w:rsidP="00C960FF" w14:paraId="227539DF" w14:textId="77777777">
      <w:pPr>
        <w:rPr>
          <w:lang w:val="en-GB"/>
        </w:rPr>
      </w:pPr>
    </w:p>
    <w:p w:rsidR="00C960FF" w:rsidRPr="00C960FF" w:rsidP="00C960FF" w14:paraId="0639EEFD" w14:textId="77777777">
      <w:pPr>
        <w:rPr>
          <w:rFonts w:asciiTheme="minorHAnsi" w:hAnsiTheme="minorHAnsi" w:cstheme="minorHAnsi"/>
          <w:b/>
          <w:bCs/>
          <w:lang w:val="en-GB"/>
        </w:rPr>
      </w:pPr>
      <w:r w:rsidRPr="00C960FF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C960FF" w:rsidRPr="00C960FF" w:rsidP="00C960FF" w14:paraId="7792249E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C960FF" w:rsidRPr="00C960FF" w:rsidP="00C960FF" w14:paraId="3C93B0E4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C960FF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31FEB824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08F5FF7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6056032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5EC4766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6DEF495C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960FF" w:rsidRPr="00C960FF" w:rsidP="00C960FF" w14:paraId="13EB007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60FF" w:rsidRPr="00C960FF" w:rsidP="00C960FF" w14:paraId="397CADD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60FF" w:rsidRPr="00C960FF" w:rsidP="00C960FF" w14:paraId="7F25F32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C960FF" w:rsidRPr="00C960FF" w:rsidP="00C960FF" w14:paraId="0FDE2EDC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335C7B13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59B858B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102FE6B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18B358A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220A0970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960FF" w:rsidRPr="00C960FF" w:rsidP="00C960FF" w14:paraId="7DEA462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C960FF" w:rsidRPr="00C960FF" w:rsidP="00C960FF" w14:paraId="1F92B74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C960FF" w:rsidRPr="00C960FF" w:rsidP="00C960FF" w14:paraId="5A8E597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997C619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960FF" w:rsidRPr="00C960FF" w:rsidP="00C960FF" w14:paraId="7618C8C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960FF" w:rsidRPr="00C960FF" w:rsidP="00C960FF" w14:paraId="2FDC6CB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960FF" w:rsidRPr="00C960FF" w:rsidP="00C960FF" w14:paraId="364469B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3194BE6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960FF" w:rsidRPr="00C960FF" w:rsidP="00C960FF" w14:paraId="4E97B7A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960FF" w:rsidRPr="00C960FF" w:rsidP="00C960FF" w14:paraId="2D6C496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960FF" w:rsidRPr="00C960FF" w:rsidP="00C960FF" w14:paraId="2E4974F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1E2E2EF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C960FF" w:rsidRPr="00C960FF" w:rsidP="00C960FF" w14:paraId="0C818F6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960FF" w:rsidRPr="00C960FF" w:rsidP="00C960FF" w14:paraId="6167E60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960FF" w:rsidRPr="00C960FF" w:rsidP="00C960FF" w14:paraId="69F11C9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EC12092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5828E45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C960FF" w:rsidRPr="00C960FF" w:rsidP="00C960FF" w14:paraId="33CD68B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FF" w:rsidRPr="00C960FF" w:rsidP="00C960FF" w14:paraId="6A377019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FF" w:rsidRPr="00C960FF" w:rsidP="00C960FF" w14:paraId="6BD468B0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02D0384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620B6BF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6B399DE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1C6C539C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37306FC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090CB76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47E453DE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1D7242A2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86D0E27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EDFCBF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5AA1659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7CC3A3B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5533AC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FF" w:rsidRPr="00C960FF" w:rsidP="00C960FF" w14:paraId="0AC4EA7A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60FF" w:rsidRPr="00C960FF" w:rsidP="00C960FF" w14:paraId="3F640AFC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60FF" w:rsidRPr="00C960FF" w:rsidP="00C960FF" w14:paraId="7C063604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2758FC8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FF" w:rsidRPr="00C960FF" w:rsidP="00C960FF" w14:paraId="3503B45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FF" w:rsidRPr="00C960FF" w:rsidP="00C960FF" w14:paraId="6A2A870E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FF" w:rsidRPr="00C960FF" w:rsidP="00C960FF" w14:paraId="7C8C2449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10A485EC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1BDDAD2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24780C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2C2488E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AE556A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12B2623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606E834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0AAF874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FE0E5D6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1B3A36C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354890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7D187F8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7F5A728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61DE186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05A590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4516D4FC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80CACF0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461A7AA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00E1343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5A9BDA2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4A8D925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09533CE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5954D30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263043E1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AE34D75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7C9F221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7FEB3799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7DC0DCCB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DCED384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D1F692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F" w:rsidRPr="00C960FF" w:rsidP="00C960FF" w14:paraId="2910F8E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960F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F" w:rsidRPr="00C960FF" w:rsidP="00C960FF" w14:paraId="0B2A38B9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C960FF" w:rsidRPr="00C960FF" w:rsidP="00C960FF" w14:paraId="329565A4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960FF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C960FF" w:rsidRPr="00C960FF" w:rsidP="00C960FF" w14:paraId="286913A1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960FF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C960FF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0FF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C960FF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C960FF">
        <w:rPr>
          <w:rFonts w:asciiTheme="minorHAnsi" w:hAnsiTheme="minorHAnsi" w:cstheme="minorHAnsi"/>
          <w:b/>
          <w:bCs/>
          <w:sz w:val="24"/>
        </w:rPr>
        <w:t> </w:t>
      </w:r>
      <w:r w:rsidRPr="00C960FF">
        <w:rPr>
          <w:rFonts w:asciiTheme="minorHAnsi" w:hAnsiTheme="minorHAnsi" w:cstheme="minorHAnsi"/>
          <w:b/>
          <w:bCs/>
          <w:sz w:val="24"/>
        </w:rPr>
        <w:t> </w:t>
      </w:r>
      <w:r w:rsidRPr="00C960FF">
        <w:rPr>
          <w:rFonts w:asciiTheme="minorHAnsi" w:hAnsiTheme="minorHAnsi" w:cstheme="minorHAnsi"/>
          <w:b/>
          <w:bCs/>
          <w:sz w:val="24"/>
        </w:rPr>
        <w:t> </w:t>
      </w:r>
      <w:r w:rsidRPr="00C960FF">
        <w:rPr>
          <w:rFonts w:asciiTheme="minorHAnsi" w:hAnsiTheme="minorHAnsi" w:cstheme="minorHAnsi"/>
          <w:b/>
          <w:bCs/>
          <w:sz w:val="24"/>
        </w:rPr>
        <w:t> </w:t>
      </w:r>
      <w:r w:rsidRPr="00C960FF">
        <w:rPr>
          <w:rFonts w:asciiTheme="minorHAnsi" w:hAnsiTheme="minorHAnsi" w:cstheme="minorHAnsi"/>
          <w:b/>
          <w:bCs/>
          <w:sz w:val="24"/>
        </w:rPr>
        <w:t> </w:t>
      </w:r>
      <w:r w:rsidRPr="00C960FF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5973F2" w:rsidP="005973F2" w14:paraId="2113D5AD" w14:textId="27E38B4D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BL10855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</w:t>
          </w:r>
          <w:r w:rsidRPr="001F54AF">
            <w:rPr>
              <w:b/>
              <w:i/>
              <w:sz w:val="16"/>
              <w:szCs w:val="16"/>
            </w:rPr>
            <w:t>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1000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672F0"/>
    <w:rsid w:val="00084BAB"/>
    <w:rsid w:val="000B4F00"/>
    <w:rsid w:val="000C4B0F"/>
    <w:rsid w:val="000D03ED"/>
    <w:rsid w:val="000E15ED"/>
    <w:rsid w:val="00163844"/>
    <w:rsid w:val="00164DDF"/>
    <w:rsid w:val="00167F79"/>
    <w:rsid w:val="00191297"/>
    <w:rsid w:val="001C48CC"/>
    <w:rsid w:val="001D325D"/>
    <w:rsid w:val="001F54AF"/>
    <w:rsid w:val="00204038"/>
    <w:rsid w:val="00234F13"/>
    <w:rsid w:val="00240656"/>
    <w:rsid w:val="002411E1"/>
    <w:rsid w:val="002949F9"/>
    <w:rsid w:val="002B254E"/>
    <w:rsid w:val="002D2DDF"/>
    <w:rsid w:val="002F2960"/>
    <w:rsid w:val="00300667"/>
    <w:rsid w:val="00323274"/>
    <w:rsid w:val="003625E5"/>
    <w:rsid w:val="00367117"/>
    <w:rsid w:val="0037235E"/>
    <w:rsid w:val="0041451A"/>
    <w:rsid w:val="004C7FE2"/>
    <w:rsid w:val="005341E5"/>
    <w:rsid w:val="00535E65"/>
    <w:rsid w:val="0055328E"/>
    <w:rsid w:val="005656E7"/>
    <w:rsid w:val="005734DA"/>
    <w:rsid w:val="00587815"/>
    <w:rsid w:val="0059473C"/>
    <w:rsid w:val="005973F2"/>
    <w:rsid w:val="005C08B2"/>
    <w:rsid w:val="005E73AE"/>
    <w:rsid w:val="006708A7"/>
    <w:rsid w:val="00673659"/>
    <w:rsid w:val="0068272B"/>
    <w:rsid w:val="00697D10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17F77"/>
    <w:rsid w:val="0094696C"/>
    <w:rsid w:val="0098262B"/>
    <w:rsid w:val="009F44D4"/>
    <w:rsid w:val="00A32373"/>
    <w:rsid w:val="00A7051D"/>
    <w:rsid w:val="00AA2E33"/>
    <w:rsid w:val="00AA60D3"/>
    <w:rsid w:val="00AB1054"/>
    <w:rsid w:val="00AB4362"/>
    <w:rsid w:val="00B730F1"/>
    <w:rsid w:val="00BB5E5F"/>
    <w:rsid w:val="00BE4E91"/>
    <w:rsid w:val="00C56B8A"/>
    <w:rsid w:val="00C9132A"/>
    <w:rsid w:val="00C920C6"/>
    <w:rsid w:val="00C960FF"/>
    <w:rsid w:val="00CE6B23"/>
    <w:rsid w:val="00D13C9D"/>
    <w:rsid w:val="00D84136"/>
    <w:rsid w:val="00DB4A2C"/>
    <w:rsid w:val="00DF0226"/>
    <w:rsid w:val="00E959F2"/>
    <w:rsid w:val="00EE48BD"/>
    <w:rsid w:val="00F659EA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F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5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FE5FF0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FE5FF0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D841C8"/>
    <w:rPr>
      <w:color w:val="0563C1" w:themeColor="hyperlink"/>
      <w:u w:val="single"/>
    </w:rPr>
  </w:style>
  <w:style w:type="character" w:customStyle="1" w:styleId="Heading2Char">
    <w:name w:val="Heading 2 Char"/>
    <w:link w:val="Heading2"/>
    <w:semiHidden/>
    <w:rsid w:val="00FE5FF0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FE5FF0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FE5FF0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FE5FF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E5F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6</cp:revision>
  <cp:lastPrinted>2007-09-20T09:15:00Z</cp:lastPrinted>
  <dcterms:created xsi:type="dcterms:W3CDTF">2023-05-08T09:41:00Z</dcterms:created>
  <dcterms:modified xsi:type="dcterms:W3CDTF">2024-05-16T11:54:00Z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https://centuri.boule.com/command/workflow/BL10855/comment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BL10855-2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går att fylla i digitalt, ingen ändring av innehåll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2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https://centuri.boule.com/RegNo/BL10855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https://centuri.boule.com/Compare/BL10855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BL10855</vt:lpwstr>
  </property>
  <property fmtid="{D5CDD505-2E9C-101B-9397-08002B2CF9AE}" pid="56" name="T_RegistrationNumberId">
    <vt:lpwstr>f98befb0-fa27-41ff-a5ee-30f10aaff0ce</vt:lpwstr>
  </property>
  <property fmtid="{D5CDD505-2E9C-101B-9397-08002B2CF9AE}" pid="57" name="T_RegNo">
    <vt:lpwstr>BL10855-2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Service Instrument,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Swelab Lumi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de2f617b-69d6-4b95-80d6-c1eda6b6dbc4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